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B3" w:rsidRPr="005A097C" w:rsidRDefault="000A41EA" w:rsidP="000A41EA">
      <w:pPr>
        <w:jc w:val="both"/>
        <w:rPr>
          <w:rFonts w:ascii="Arial" w:hAnsi="Arial" w:cs="Arial"/>
          <w:sz w:val="20"/>
          <w:szCs w:val="20"/>
        </w:rPr>
      </w:pPr>
      <w:r w:rsidRPr="005A097C">
        <w:rPr>
          <w:rFonts w:ascii="Arial" w:hAnsi="Arial" w:cs="Arial"/>
          <w:sz w:val="20"/>
          <w:szCs w:val="20"/>
        </w:rPr>
        <w:t>Nos termos do ponto 22.3 do Aviso n.º 6300/2017, publicado no Diário da República, 2ª série n.º 108, de 5 de junho, cumpre divulgar a legislação e a bibliografia necessárias para a preparação dos temas sobre os quais incidirão a Prova de Conhecimentos:</w:t>
      </w:r>
    </w:p>
    <w:p w:rsidR="000A41EA" w:rsidRPr="005A097C" w:rsidRDefault="000A41EA" w:rsidP="000A41E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A097C">
        <w:rPr>
          <w:rFonts w:ascii="Arial" w:hAnsi="Arial" w:cs="Arial"/>
          <w:sz w:val="20"/>
          <w:szCs w:val="20"/>
        </w:rPr>
        <w:t>Parte I – Enquadramento geral:</w:t>
      </w:r>
    </w:p>
    <w:p w:rsidR="000A41EA" w:rsidRPr="005A097C" w:rsidRDefault="000A41EA" w:rsidP="000A41E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097C">
        <w:rPr>
          <w:rFonts w:ascii="Arial" w:hAnsi="Arial" w:cs="Arial"/>
          <w:sz w:val="20"/>
          <w:szCs w:val="20"/>
        </w:rPr>
        <w:t>Constituição da República Portuguesa;</w:t>
      </w:r>
    </w:p>
    <w:p w:rsidR="000A41EA" w:rsidRPr="005A097C" w:rsidRDefault="000A41EA" w:rsidP="000A41E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097C">
        <w:rPr>
          <w:rFonts w:ascii="Arial" w:hAnsi="Arial" w:cs="Arial"/>
          <w:sz w:val="20"/>
          <w:szCs w:val="20"/>
        </w:rPr>
        <w:t>Código do Procedimento Administrativo (na redação do Decreto-Lei n.º 4/2015, de 7 de janeiro);</w:t>
      </w:r>
    </w:p>
    <w:p w:rsidR="000A41EA" w:rsidRPr="005A097C" w:rsidRDefault="000A41EA" w:rsidP="000A41E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097C">
        <w:rPr>
          <w:rFonts w:ascii="Arial" w:hAnsi="Arial" w:cs="Arial"/>
          <w:sz w:val="20"/>
          <w:szCs w:val="20"/>
        </w:rPr>
        <w:t>Decreto-Lei n.º 73/2014, de 13 de maio (altera e republica o Decreto-lei n.º 135/99, de 22 de abril);</w:t>
      </w:r>
    </w:p>
    <w:p w:rsidR="000A41EA" w:rsidRPr="005A097C" w:rsidRDefault="000A41EA" w:rsidP="000A41E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097C">
        <w:rPr>
          <w:rFonts w:ascii="Arial" w:hAnsi="Arial" w:cs="Arial"/>
          <w:sz w:val="20"/>
          <w:szCs w:val="20"/>
        </w:rPr>
        <w:t>Lei Geral do Trabalho em Funções Públicas, aprovada pela Lei n.º 35/2014, retificada pela Declaração de Retificação n.º 37-A/2014, publicada no Diário da República, n.º 158, de 19 de agosto de 2014, e alterada pela Lei n.º 82-B/2014, de 31 de dezembro;</w:t>
      </w:r>
    </w:p>
    <w:p w:rsidR="000A41EA" w:rsidRPr="005A097C" w:rsidRDefault="000A41EA" w:rsidP="000A41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097C">
        <w:rPr>
          <w:rFonts w:ascii="Arial" w:hAnsi="Arial" w:cs="Arial"/>
          <w:sz w:val="20"/>
          <w:szCs w:val="20"/>
        </w:rPr>
        <w:t>Regime Jurídico das Instituições de Ensino Superior (Lei n.º 62/2007, de 10 de setembro);</w:t>
      </w:r>
    </w:p>
    <w:p w:rsidR="000A41EA" w:rsidRPr="005A097C" w:rsidRDefault="000A41EA" w:rsidP="000A41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097C">
        <w:rPr>
          <w:rFonts w:ascii="Arial" w:hAnsi="Arial" w:cs="Arial"/>
          <w:sz w:val="20"/>
          <w:szCs w:val="20"/>
        </w:rPr>
        <w:t>Estatutos do Instituto Politécnico de Leiria;</w:t>
      </w:r>
    </w:p>
    <w:p w:rsidR="000A41EA" w:rsidRPr="005A097C" w:rsidRDefault="000A41EA" w:rsidP="000A41E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097C">
        <w:rPr>
          <w:rFonts w:ascii="Arial" w:hAnsi="Arial" w:cs="Arial"/>
          <w:sz w:val="20"/>
          <w:szCs w:val="20"/>
        </w:rPr>
        <w:t>Sistema Integrado de Avaliação de Desempenho na Administração Pública, aprovado pela Lei n.º 66-B/2007 de 28 de dezembro, alterada pelas Leis n.ºs 64-A/2008, de 31 de dezembro, 55-A/2010, de 31 de dezembro e 66-B/2012, de 31 de dezembro;</w:t>
      </w:r>
    </w:p>
    <w:p w:rsidR="000A41EA" w:rsidRPr="005A097C" w:rsidRDefault="000A41EA" w:rsidP="000A41E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097C">
        <w:rPr>
          <w:rFonts w:ascii="Arial" w:hAnsi="Arial" w:cs="Arial"/>
          <w:sz w:val="20"/>
          <w:szCs w:val="20"/>
        </w:rPr>
        <w:t>Circular Série - A n.º 1386 sobre “Instruções sobre cabimentos, compromissos e pagamentos em atras</w:t>
      </w:r>
      <w:bookmarkStart w:id="0" w:name="_GoBack"/>
      <w:bookmarkEnd w:id="0"/>
      <w:r w:rsidRPr="005A097C">
        <w:rPr>
          <w:rFonts w:ascii="Arial" w:hAnsi="Arial" w:cs="Arial"/>
          <w:sz w:val="20"/>
          <w:szCs w:val="20"/>
        </w:rPr>
        <w:t>o”, aprovada em 09.09.2011;</w:t>
      </w:r>
    </w:p>
    <w:p w:rsidR="000A41EA" w:rsidRPr="005A097C" w:rsidRDefault="000A41EA" w:rsidP="000A41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097C">
        <w:rPr>
          <w:rFonts w:ascii="Arial" w:hAnsi="Arial" w:cs="Arial"/>
          <w:sz w:val="20"/>
          <w:szCs w:val="20"/>
        </w:rPr>
        <w:t>Regime de Administração Financeira do Estado (Decreto-Lei n.º 155/92, de 28 de julho e respetivas alterações legais).</w:t>
      </w:r>
    </w:p>
    <w:p w:rsidR="000A41EA" w:rsidRPr="005A097C" w:rsidRDefault="000A41EA" w:rsidP="000A41EA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sz w:val="20"/>
          <w:szCs w:val="20"/>
        </w:rPr>
      </w:pPr>
    </w:p>
    <w:p w:rsidR="000A41EA" w:rsidRPr="005A097C" w:rsidRDefault="000A41EA" w:rsidP="000A41EA">
      <w:pPr>
        <w:jc w:val="both"/>
        <w:rPr>
          <w:rFonts w:ascii="Arial" w:hAnsi="Arial" w:cs="Arial"/>
          <w:sz w:val="20"/>
          <w:szCs w:val="20"/>
        </w:rPr>
      </w:pPr>
      <w:r w:rsidRPr="005A097C">
        <w:rPr>
          <w:rFonts w:ascii="Arial" w:hAnsi="Arial" w:cs="Arial"/>
          <w:sz w:val="20"/>
          <w:szCs w:val="20"/>
        </w:rPr>
        <w:t>Parte II – Enquadramento específico</w:t>
      </w:r>
    </w:p>
    <w:p w:rsidR="000A41EA" w:rsidRPr="005A097C" w:rsidRDefault="000A41EA" w:rsidP="000A41EA">
      <w:pPr>
        <w:jc w:val="both"/>
        <w:rPr>
          <w:rFonts w:ascii="Arial" w:hAnsi="Arial" w:cs="Arial"/>
          <w:sz w:val="20"/>
          <w:szCs w:val="20"/>
        </w:rPr>
      </w:pPr>
    </w:p>
    <w:p w:rsidR="000A41EA" w:rsidRPr="005A097C" w:rsidRDefault="000A41EA" w:rsidP="000A41E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097C">
        <w:rPr>
          <w:rFonts w:ascii="Arial" w:hAnsi="Arial" w:cs="Arial"/>
          <w:sz w:val="20"/>
          <w:szCs w:val="20"/>
        </w:rPr>
        <w:t xml:space="preserve">APDIS, BAD &amp; INCITE (1999). </w:t>
      </w:r>
      <w:r w:rsidRPr="005A097C">
        <w:rPr>
          <w:rFonts w:ascii="Arial" w:hAnsi="Arial" w:cs="Arial"/>
          <w:i/>
          <w:sz w:val="20"/>
          <w:szCs w:val="20"/>
        </w:rPr>
        <w:t>Código de Ética do Profissional de Informação em Portugal.</w:t>
      </w:r>
      <w:r w:rsidRPr="005A097C">
        <w:rPr>
          <w:rFonts w:ascii="Arial" w:hAnsi="Arial" w:cs="Arial"/>
          <w:sz w:val="20"/>
          <w:szCs w:val="20"/>
        </w:rPr>
        <w:t xml:space="preserve"> Disponível em http://www.apbad.pt/Profissao_Areas.htm</w:t>
      </w:r>
    </w:p>
    <w:p w:rsidR="000A41EA" w:rsidRPr="005A097C" w:rsidRDefault="000A41EA" w:rsidP="000A41EA">
      <w:pPr>
        <w:pStyle w:val="PargrafodaLista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A097C">
        <w:rPr>
          <w:rFonts w:ascii="Arial" w:hAnsi="Arial" w:cs="Arial"/>
          <w:sz w:val="20"/>
          <w:szCs w:val="20"/>
        </w:rPr>
        <w:t>Carrión</w:t>
      </w:r>
      <w:proofErr w:type="spellEnd"/>
      <w:r w:rsidRPr="005A09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97C">
        <w:rPr>
          <w:rFonts w:ascii="Arial" w:hAnsi="Arial" w:cs="Arial"/>
          <w:sz w:val="20"/>
          <w:szCs w:val="20"/>
        </w:rPr>
        <w:t>Gútiez</w:t>
      </w:r>
      <w:proofErr w:type="spellEnd"/>
      <w:r w:rsidRPr="005A097C">
        <w:rPr>
          <w:rFonts w:ascii="Arial" w:hAnsi="Arial" w:cs="Arial"/>
          <w:sz w:val="20"/>
          <w:szCs w:val="20"/>
        </w:rPr>
        <w:t xml:space="preserve">, M. (1990). </w:t>
      </w:r>
      <w:r w:rsidRPr="005A097C">
        <w:rPr>
          <w:rFonts w:ascii="Arial" w:hAnsi="Arial" w:cs="Arial"/>
          <w:i/>
          <w:iCs/>
          <w:sz w:val="20"/>
          <w:szCs w:val="20"/>
        </w:rPr>
        <w:t>Manual de bibliotecas</w:t>
      </w:r>
      <w:r w:rsidRPr="005A097C">
        <w:rPr>
          <w:rFonts w:ascii="Arial" w:hAnsi="Arial" w:cs="Arial"/>
          <w:sz w:val="20"/>
          <w:szCs w:val="20"/>
        </w:rPr>
        <w:t xml:space="preserve">. Madrid: </w:t>
      </w:r>
      <w:proofErr w:type="spellStart"/>
      <w:r w:rsidRPr="005A097C">
        <w:rPr>
          <w:rFonts w:ascii="Arial" w:hAnsi="Arial" w:cs="Arial"/>
          <w:sz w:val="20"/>
          <w:szCs w:val="20"/>
        </w:rPr>
        <w:t>Fundación</w:t>
      </w:r>
      <w:proofErr w:type="spellEnd"/>
      <w:r w:rsidRPr="005A09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97C">
        <w:rPr>
          <w:rFonts w:ascii="Arial" w:hAnsi="Arial" w:cs="Arial"/>
          <w:sz w:val="20"/>
          <w:szCs w:val="20"/>
        </w:rPr>
        <w:t>Germán</w:t>
      </w:r>
      <w:proofErr w:type="spellEnd"/>
      <w:r w:rsidRPr="005A09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97C">
        <w:rPr>
          <w:rFonts w:ascii="Arial" w:hAnsi="Arial" w:cs="Arial"/>
          <w:sz w:val="20"/>
          <w:szCs w:val="20"/>
        </w:rPr>
        <w:t>Sánchez</w:t>
      </w:r>
      <w:proofErr w:type="spellEnd"/>
      <w:r w:rsidRPr="005A09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97C">
        <w:rPr>
          <w:rFonts w:ascii="Arial" w:hAnsi="Arial" w:cs="Arial"/>
          <w:sz w:val="20"/>
          <w:szCs w:val="20"/>
        </w:rPr>
        <w:t>Ruipérez</w:t>
      </w:r>
      <w:proofErr w:type="spellEnd"/>
      <w:r w:rsidRPr="005A097C">
        <w:rPr>
          <w:rFonts w:ascii="Arial" w:hAnsi="Arial" w:cs="Arial"/>
          <w:sz w:val="20"/>
          <w:szCs w:val="20"/>
        </w:rPr>
        <w:t>;</w:t>
      </w:r>
    </w:p>
    <w:p w:rsidR="000A41EA" w:rsidRPr="005A097C" w:rsidRDefault="000A41EA" w:rsidP="000A41EA">
      <w:pPr>
        <w:pStyle w:val="PargrafodaLista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5A097C">
        <w:rPr>
          <w:rFonts w:ascii="Arial" w:hAnsi="Arial" w:cs="Arial"/>
          <w:sz w:val="20"/>
          <w:szCs w:val="20"/>
          <w:lang w:val="en-US"/>
        </w:rPr>
        <w:t>Kesselman</w:t>
      </w:r>
      <w:proofErr w:type="spellEnd"/>
      <w:r w:rsidRPr="005A097C">
        <w:rPr>
          <w:rFonts w:ascii="Arial" w:hAnsi="Arial" w:cs="Arial"/>
          <w:sz w:val="20"/>
          <w:szCs w:val="20"/>
          <w:lang w:val="en-US"/>
        </w:rPr>
        <w:t xml:space="preserve">, M. A., &amp; </w:t>
      </w:r>
      <w:proofErr w:type="spellStart"/>
      <w:r w:rsidRPr="005A097C">
        <w:rPr>
          <w:rFonts w:ascii="Arial" w:hAnsi="Arial" w:cs="Arial"/>
          <w:sz w:val="20"/>
          <w:szCs w:val="20"/>
          <w:lang w:val="en-US"/>
        </w:rPr>
        <w:t>Watstein</w:t>
      </w:r>
      <w:proofErr w:type="spellEnd"/>
      <w:r w:rsidRPr="005A097C">
        <w:rPr>
          <w:rFonts w:ascii="Arial" w:hAnsi="Arial" w:cs="Arial"/>
          <w:sz w:val="20"/>
          <w:szCs w:val="20"/>
          <w:lang w:val="en-US"/>
        </w:rPr>
        <w:t xml:space="preserve">, S. B. (2009). Creating Opportunities: Embedded Librarians. </w:t>
      </w:r>
      <w:r w:rsidRPr="005A097C">
        <w:rPr>
          <w:rFonts w:ascii="Arial" w:hAnsi="Arial" w:cs="Arial"/>
          <w:i/>
          <w:iCs/>
          <w:sz w:val="20"/>
          <w:szCs w:val="20"/>
          <w:lang w:val="en-US"/>
        </w:rPr>
        <w:t>Journal of Library Administration</w:t>
      </w:r>
      <w:r w:rsidRPr="005A097C">
        <w:rPr>
          <w:rFonts w:ascii="Arial" w:hAnsi="Arial" w:cs="Arial"/>
          <w:sz w:val="20"/>
          <w:szCs w:val="20"/>
          <w:lang w:val="en-US"/>
        </w:rPr>
        <w:t>, 49(4), 383-400;</w:t>
      </w:r>
    </w:p>
    <w:p w:rsidR="000A41EA" w:rsidRPr="005A097C" w:rsidRDefault="000A41EA" w:rsidP="000A41EA">
      <w:pPr>
        <w:pStyle w:val="PargrafodaLista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 w:rsidRPr="005A097C">
        <w:rPr>
          <w:rFonts w:ascii="Arial" w:hAnsi="Arial" w:cs="Arial"/>
          <w:sz w:val="20"/>
          <w:szCs w:val="20"/>
        </w:rPr>
        <w:t xml:space="preserve">Lopes, C. (2015). </w:t>
      </w:r>
      <w:r w:rsidRPr="005A097C">
        <w:rPr>
          <w:rFonts w:ascii="Arial" w:hAnsi="Arial" w:cs="Arial"/>
          <w:i/>
          <w:iCs/>
          <w:sz w:val="20"/>
          <w:szCs w:val="20"/>
        </w:rPr>
        <w:t>As competências da literacia da informação integradas nos curricula académicos</w:t>
      </w:r>
      <w:r w:rsidRPr="005A097C">
        <w:rPr>
          <w:rFonts w:ascii="Arial" w:hAnsi="Arial" w:cs="Arial"/>
          <w:sz w:val="20"/>
          <w:szCs w:val="20"/>
        </w:rPr>
        <w:t>. Atas do Congresso Nacional de Bibliotecários, Arquivistas e Documentalistas, Évora;</w:t>
      </w:r>
    </w:p>
    <w:p w:rsidR="000A41EA" w:rsidRPr="005A097C" w:rsidRDefault="000A41EA" w:rsidP="000A41EA">
      <w:pPr>
        <w:pStyle w:val="PargrafodaLista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 w:rsidRPr="005A097C">
        <w:rPr>
          <w:rFonts w:ascii="Arial" w:hAnsi="Arial" w:cs="Arial"/>
          <w:sz w:val="20"/>
          <w:szCs w:val="20"/>
        </w:rPr>
        <w:t xml:space="preserve">Marques, A. (2012). </w:t>
      </w:r>
      <w:r w:rsidRPr="005A097C">
        <w:rPr>
          <w:rFonts w:ascii="Arial" w:hAnsi="Arial" w:cs="Arial"/>
          <w:i/>
          <w:iCs/>
          <w:sz w:val="20"/>
          <w:szCs w:val="20"/>
        </w:rPr>
        <w:t>Marketing Relacional: como transformar a fidelização de clientes numa vantagem competitiva</w:t>
      </w:r>
      <w:r w:rsidRPr="005A097C">
        <w:rPr>
          <w:rFonts w:ascii="Arial" w:hAnsi="Arial" w:cs="Arial"/>
          <w:sz w:val="20"/>
          <w:szCs w:val="20"/>
        </w:rPr>
        <w:t>. Lisboa: Sílabo;</w:t>
      </w:r>
    </w:p>
    <w:p w:rsidR="000A41EA" w:rsidRPr="005A097C" w:rsidRDefault="000A41EA" w:rsidP="000A41EA">
      <w:pPr>
        <w:pStyle w:val="PargrafodaLista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 w:rsidRPr="005A097C">
        <w:rPr>
          <w:rFonts w:ascii="Arial" w:hAnsi="Arial" w:cs="Arial"/>
          <w:sz w:val="20"/>
          <w:szCs w:val="20"/>
        </w:rPr>
        <w:t xml:space="preserve">Rodrigues, E., </w:t>
      </w:r>
      <w:proofErr w:type="spellStart"/>
      <w:r w:rsidRPr="005A097C">
        <w:rPr>
          <w:rFonts w:ascii="Arial" w:hAnsi="Arial" w:cs="Arial"/>
          <w:sz w:val="20"/>
          <w:szCs w:val="20"/>
        </w:rPr>
        <w:t>Swan</w:t>
      </w:r>
      <w:proofErr w:type="spellEnd"/>
      <w:r w:rsidRPr="005A097C">
        <w:rPr>
          <w:rFonts w:ascii="Arial" w:hAnsi="Arial" w:cs="Arial"/>
          <w:sz w:val="20"/>
          <w:szCs w:val="20"/>
        </w:rPr>
        <w:t xml:space="preserve">, A., &amp; Baptista, A. A. (2013). </w:t>
      </w:r>
      <w:r w:rsidRPr="005A097C">
        <w:rPr>
          <w:rFonts w:ascii="Arial" w:hAnsi="Arial" w:cs="Arial"/>
          <w:i/>
          <w:iCs/>
          <w:sz w:val="20"/>
          <w:szCs w:val="20"/>
        </w:rPr>
        <w:t xml:space="preserve">Uma Década de Acesso Aberto na </w:t>
      </w:r>
      <w:proofErr w:type="spellStart"/>
      <w:r w:rsidRPr="005A097C">
        <w:rPr>
          <w:rFonts w:ascii="Arial" w:hAnsi="Arial" w:cs="Arial"/>
          <w:i/>
          <w:iCs/>
          <w:sz w:val="20"/>
          <w:szCs w:val="20"/>
        </w:rPr>
        <w:t>UMinho</w:t>
      </w:r>
      <w:proofErr w:type="spellEnd"/>
      <w:r w:rsidRPr="005A097C">
        <w:rPr>
          <w:rFonts w:ascii="Arial" w:hAnsi="Arial" w:cs="Arial"/>
          <w:i/>
          <w:iCs/>
          <w:sz w:val="20"/>
          <w:szCs w:val="20"/>
        </w:rPr>
        <w:t xml:space="preserve"> e no Mundo</w:t>
      </w:r>
      <w:r w:rsidRPr="005A097C">
        <w:rPr>
          <w:rFonts w:ascii="Arial" w:hAnsi="Arial" w:cs="Arial"/>
          <w:sz w:val="20"/>
          <w:szCs w:val="20"/>
        </w:rPr>
        <w:t>. Braga: Universidade do Minho, Serviços de Documentação;</w:t>
      </w:r>
    </w:p>
    <w:p w:rsidR="000A41EA" w:rsidRPr="005A097C" w:rsidRDefault="000A41EA" w:rsidP="000A41EA">
      <w:pPr>
        <w:pStyle w:val="PargrafodaLista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 w:rsidRPr="005A097C">
        <w:rPr>
          <w:rFonts w:ascii="Arial" w:hAnsi="Arial" w:cs="Arial"/>
          <w:sz w:val="20"/>
          <w:szCs w:val="20"/>
        </w:rPr>
        <w:t xml:space="preserve">Saraiva, P. (2014). </w:t>
      </w:r>
      <w:r w:rsidRPr="005A097C">
        <w:rPr>
          <w:rFonts w:ascii="Arial" w:hAnsi="Arial" w:cs="Arial"/>
          <w:i/>
          <w:iCs/>
          <w:sz w:val="20"/>
          <w:szCs w:val="20"/>
        </w:rPr>
        <w:t>Bibliotecas físicas ou virtuais? Reengenharia de espaços, serviços e competências nas bibliotecas universitárias do Século XXI</w:t>
      </w:r>
      <w:r w:rsidRPr="005A097C">
        <w:rPr>
          <w:rFonts w:ascii="Arial" w:hAnsi="Arial" w:cs="Arial"/>
          <w:sz w:val="20"/>
          <w:szCs w:val="20"/>
        </w:rPr>
        <w:t xml:space="preserve"> (Tese de Doutoramento, Universidade de Évora);</w:t>
      </w:r>
    </w:p>
    <w:p w:rsidR="000A41EA" w:rsidRPr="005A097C" w:rsidRDefault="000A41EA" w:rsidP="000A41EA">
      <w:pPr>
        <w:pStyle w:val="PargrafodaLista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 w:rsidRPr="005A097C">
        <w:rPr>
          <w:rFonts w:ascii="Arial" w:hAnsi="Arial" w:cs="Arial"/>
          <w:sz w:val="20"/>
          <w:szCs w:val="20"/>
        </w:rPr>
        <w:t xml:space="preserve">Serra, J. P. (2007). </w:t>
      </w:r>
      <w:r w:rsidRPr="005A097C">
        <w:rPr>
          <w:rFonts w:ascii="Arial" w:hAnsi="Arial" w:cs="Arial"/>
          <w:i/>
          <w:iCs/>
          <w:sz w:val="20"/>
          <w:szCs w:val="20"/>
        </w:rPr>
        <w:t>Manual de Teoria da Comunicação</w:t>
      </w:r>
      <w:r w:rsidRPr="005A097C">
        <w:rPr>
          <w:rFonts w:ascii="Arial" w:hAnsi="Arial" w:cs="Arial"/>
          <w:sz w:val="20"/>
          <w:szCs w:val="20"/>
        </w:rPr>
        <w:t>. Covilhã: Universidade da Beira Interior.</w:t>
      </w:r>
    </w:p>
    <w:p w:rsidR="000A41EA" w:rsidRPr="005A097C" w:rsidRDefault="000A41EA">
      <w:pPr>
        <w:rPr>
          <w:rFonts w:ascii="Arial" w:hAnsi="Arial" w:cs="Arial"/>
          <w:sz w:val="20"/>
          <w:szCs w:val="20"/>
        </w:rPr>
      </w:pPr>
    </w:p>
    <w:p w:rsidR="000A41EA" w:rsidRPr="005A097C" w:rsidRDefault="000A41EA">
      <w:pPr>
        <w:rPr>
          <w:rFonts w:ascii="Arial" w:hAnsi="Arial" w:cs="Arial"/>
          <w:sz w:val="20"/>
          <w:szCs w:val="20"/>
        </w:rPr>
      </w:pPr>
      <w:r w:rsidRPr="005A097C">
        <w:rPr>
          <w:rFonts w:ascii="Arial" w:hAnsi="Arial" w:cs="Arial"/>
          <w:sz w:val="20"/>
          <w:szCs w:val="20"/>
        </w:rPr>
        <w:t>Leiria, 5 de junho de 2017</w:t>
      </w:r>
    </w:p>
    <w:sectPr w:rsidR="000A41EA" w:rsidRPr="005A0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069"/>
    <w:multiLevelType w:val="hybridMultilevel"/>
    <w:tmpl w:val="1E423E46"/>
    <w:lvl w:ilvl="0" w:tplc="6A76CF8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E0D3C"/>
    <w:multiLevelType w:val="hybridMultilevel"/>
    <w:tmpl w:val="3E3601F4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4D"/>
    <w:rsid w:val="000A41EA"/>
    <w:rsid w:val="005A097C"/>
    <w:rsid w:val="006C51B3"/>
    <w:rsid w:val="00F9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0951F9C-9202-4839-A395-80B53B2AAE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3</cp:revision>
  <dcterms:created xsi:type="dcterms:W3CDTF">2017-06-05T12:02:00Z</dcterms:created>
  <dcterms:modified xsi:type="dcterms:W3CDTF">2017-06-05T12:08:00Z</dcterms:modified>
</cp:coreProperties>
</file>